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大学生人格发展塑造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T2-2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掌握人格的含义、特征及相关影响因素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了解塑造健康人格的途径和方法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熟悉大学生常见人格偏差特征及调适。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学会觉察大学生常见的人格发展缺陷；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掌握大学生人格完善的途径与方法。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了解自己的气质类型、性格特点，扬长避短，发挥性格优势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仿宋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抓住大学阶段“人格发展重要期”，不断完善自己的人格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大学生健康人格的塑造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大学生常见的人格发展问题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大学生常见的人格发展问题（简答题）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411"/>
        <w:gridCol w:w="2617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何为人格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通过提问，引入人格概念。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通过学生的回答，引导其建立对人格的初步感受。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人格的基本特征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个性形成的影响因素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人格的类型及其发展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常见的人格障碍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学生分小组对人格进行了解，并发言。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大学生人格发展塑造的任务及内容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教师提问你认为人格发展是什么？学生回应，教师引出课程内容。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大学生健康人格的塑造：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大学生健康人格概述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健康人格对大学生成才的重要意义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大学生健康人格的塑造方法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人物案例：人物介绍：“共和国勋章”获得者——钟南山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教师提问：从本案例人物身上学到了什么？学生回应。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大学生常见的人格发展问题：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自卑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猜疑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羞怯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褊狭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急躁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懒散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退缩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虚荣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抑郁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自我中心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学会换位思考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教师提问：你是否懂得换位思考？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通过小组讨论，提供师生互助的机会，拓宽学生视野，通过案例提升学生兴趣，大部分</w:t>
            </w:r>
            <w:r>
              <w:rPr>
                <w:rFonts w:hint="eastAsia" w:eastAsia="宋体" w:asciiTheme="minorHAnsi" w:hAnsiTheme="minorHAnsi" w:cstheme="minorBidi"/>
                <w:sz w:val="22"/>
                <w:szCs w:val="22"/>
                <w:lang w:val="en-US" w:eastAsia="zh-CN" w:bidi="ar-SA"/>
              </w:rPr>
              <w:t>学生</w:t>
            </w: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能参与到课堂问题中来。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人物案例不够丰富，科技性不强。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融入科技手段提高课堂效率。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85A0EA5"/>
    <w:rsid w:val="18772AC0"/>
    <w:rsid w:val="18FE651F"/>
    <w:rsid w:val="1D656A1C"/>
    <w:rsid w:val="2004579B"/>
    <w:rsid w:val="202C1C61"/>
    <w:rsid w:val="22052732"/>
    <w:rsid w:val="223B07F0"/>
    <w:rsid w:val="242359DA"/>
    <w:rsid w:val="24537CFC"/>
    <w:rsid w:val="24810FCF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E537DB9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8BB636D"/>
    <w:rsid w:val="59284923"/>
    <w:rsid w:val="5A771928"/>
    <w:rsid w:val="5D610A57"/>
    <w:rsid w:val="5EB56212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CC4450B"/>
    <w:rsid w:val="71404B12"/>
    <w:rsid w:val="71566079"/>
    <w:rsid w:val="72EE3683"/>
    <w:rsid w:val="73191F6E"/>
    <w:rsid w:val="732E1C78"/>
    <w:rsid w:val="73A31A33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1191</Words>
  <Characters>1610</Characters>
  <TotalTime>74</TotalTime>
  <ScaleCrop>false</ScaleCrop>
  <LinksUpToDate>false</LinksUpToDate>
  <CharactersWithSpaces>1666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BFD169F333884EFD8400C1769D2ED3D7_13</vt:lpwstr>
  </property>
</Properties>
</file>